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 w:val="30"/>
          <w:szCs w:val="30"/>
        </w:rPr>
      </w:pPr>
      <w:r>
        <w:rPr>
          <w:rFonts w:hint="eastAsia" w:ascii="黑体" w:hAnsi="黑体" w:eastAsia="黑体"/>
          <w:sz w:val="30"/>
          <w:szCs w:val="30"/>
        </w:rPr>
        <w:t>党建引领技术结盟</w:t>
      </w:r>
      <w:r>
        <w:rPr>
          <w:rFonts w:ascii="黑体" w:hAnsi="黑体" w:eastAsia="黑体"/>
          <w:sz w:val="30"/>
          <w:szCs w:val="30"/>
        </w:rPr>
        <w:t>—</w:t>
      </w:r>
      <w:r>
        <w:rPr>
          <w:rFonts w:hint="eastAsia" w:ascii="黑体" w:hAnsi="黑体" w:eastAsia="黑体"/>
          <w:sz w:val="30"/>
          <w:szCs w:val="30"/>
        </w:rPr>
        <w:t>精进业务 护航建设安全</w:t>
      </w:r>
    </w:p>
    <w:p>
      <w:pPr>
        <w:jc w:val="center"/>
        <w:rPr>
          <w:rFonts w:ascii="黑体" w:hAnsi="黑体" w:eastAsia="黑体"/>
          <w:sz w:val="30"/>
          <w:szCs w:val="30"/>
        </w:rPr>
      </w:pPr>
      <w:r>
        <w:rPr>
          <w:rFonts w:hint="eastAsia" w:ascii="黑体" w:hAnsi="黑体" w:eastAsia="黑体"/>
          <w:sz w:val="30"/>
          <w:szCs w:val="30"/>
        </w:rPr>
        <w:t>园区审图公司与中衡设计集团开展党建</w:t>
      </w:r>
      <w:r>
        <w:rPr>
          <w:rFonts w:hint="eastAsia" w:ascii="黑体" w:hAnsi="黑体" w:eastAsia="黑体"/>
          <w:sz w:val="30"/>
          <w:szCs w:val="30"/>
          <w:lang w:val="en-US" w:eastAsia="zh-CN"/>
        </w:rPr>
        <w:t>共建</w:t>
      </w:r>
      <w:r>
        <w:rPr>
          <w:rFonts w:hint="eastAsia" w:ascii="黑体" w:hAnsi="黑体" w:eastAsia="黑体"/>
          <w:sz w:val="30"/>
          <w:szCs w:val="30"/>
        </w:rPr>
        <w:t>活动</w:t>
      </w:r>
    </w:p>
    <w:p>
      <w:pPr>
        <w:jc w:val="center"/>
        <w:rPr>
          <w:rFonts w:ascii="黑体" w:hAnsi="黑体" w:eastAsia="黑体"/>
          <w:sz w:val="30"/>
          <w:szCs w:val="30"/>
        </w:rPr>
      </w:pPr>
    </w:p>
    <w:p>
      <w:pPr>
        <w:jc w:val="center"/>
        <w:rPr>
          <w:rFonts w:ascii="黑体" w:hAnsi="黑体" w:eastAsia="黑体"/>
          <w:sz w:val="30"/>
          <w:szCs w:val="30"/>
        </w:rPr>
      </w:pPr>
      <w:r>
        <w:rPr>
          <w:rFonts w:hint="eastAsia" w:ascii="黑体" w:hAnsi="黑体" w:eastAsia="黑体"/>
          <w:sz w:val="30"/>
          <w:szCs w:val="30"/>
          <w:highlight w:val="yellow"/>
        </w:rPr>
        <w:drawing>
          <wp:inline distT="0" distB="0" distL="0" distR="0">
            <wp:extent cx="5274310" cy="296037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5274310" cy="2960849"/>
                    </a:xfrm>
                    <a:prstGeom prst="rect">
                      <a:avLst/>
                    </a:prstGeom>
                    <a:noFill/>
                    <a:ln>
                      <a:noFill/>
                    </a:ln>
                  </pic:spPr>
                </pic:pic>
              </a:graphicData>
            </a:graphic>
          </wp:inline>
        </w:drawing>
      </w:r>
    </w:p>
    <w:p/>
    <w:p>
      <w:pPr>
        <w:ind w:firstLine="560" w:firstLineChars="200"/>
        <w:rPr>
          <w:rFonts w:ascii="仿宋" w:hAnsi="仿宋" w:eastAsia="仿宋"/>
          <w:sz w:val="28"/>
          <w:szCs w:val="28"/>
        </w:rPr>
      </w:pPr>
      <w:r>
        <w:rPr>
          <w:rFonts w:hint="eastAsia" w:ascii="仿宋" w:hAnsi="仿宋" w:eastAsia="仿宋"/>
          <w:sz w:val="28"/>
          <w:szCs w:val="28"/>
        </w:rPr>
        <w:t>为贯彻落实习近平新时代中国特色社会主义思想和党的二十大精神，进一步深化党建工作内涵，创新基层党建工作方式，推进园区审图公司与规划设计单位的党建合作和业务技术水平迈上新台阶，更好地为建设项目安全保驾护航。12月14日下午，中共苏州工业园区建设工程设计施工图审查有限公司支部委员会与中共中衡设计集团股份有限公司委员会举行“党建引领，技术结盟云签约仪式”，双方签约成为党建共建单位，并联合开展党建结伴技术交流活动。园区审图公司</w:t>
      </w:r>
      <w:r>
        <w:rPr>
          <w:rFonts w:hint="eastAsia" w:ascii="仿宋" w:hAnsi="仿宋" w:eastAsia="仿宋"/>
          <w:sz w:val="28"/>
          <w:szCs w:val="28"/>
          <w:lang w:val="en-US" w:eastAsia="zh-CN"/>
        </w:rPr>
        <w:t>党支部</w:t>
      </w:r>
      <w:r>
        <w:rPr>
          <w:rFonts w:hint="eastAsia" w:ascii="仿宋" w:hAnsi="仿宋" w:eastAsia="仿宋"/>
          <w:sz w:val="28"/>
          <w:szCs w:val="28"/>
        </w:rPr>
        <w:t>书记史丽远，党支部委员胡世忻、张雁，中衡设计集团党委副书记傅卫东，党委委员谈丽华，集团副总工程师陈露，以及双方党员代表等参加会议。</w:t>
      </w:r>
    </w:p>
    <w:p>
      <w:pPr>
        <w:ind w:firstLine="560" w:firstLineChars="200"/>
        <w:rPr>
          <w:rFonts w:hint="eastAsia" w:ascii="仿宋" w:hAnsi="仿宋" w:eastAsia="仿宋"/>
          <w:sz w:val="28"/>
          <w:szCs w:val="28"/>
        </w:rPr>
      </w:pPr>
    </w:p>
    <w:p>
      <w:pPr>
        <w:ind w:firstLine="560" w:firstLineChars="200"/>
        <w:rPr>
          <w:rFonts w:hint="eastAsia" w:ascii="仿宋" w:hAnsi="仿宋" w:eastAsia="仿宋"/>
          <w:sz w:val="28"/>
          <w:szCs w:val="28"/>
        </w:rPr>
      </w:pPr>
      <w:r>
        <w:rPr>
          <w:rFonts w:hint="eastAsia" w:ascii="仿宋" w:hAnsi="仿宋" w:eastAsia="仿宋"/>
          <w:sz w:val="28"/>
          <w:szCs w:val="28"/>
        </w:rPr>
        <w:t>因疫情防控需要，双方开展了一场特殊的线上结对、党建活动。</w:t>
      </w:r>
    </w:p>
    <w:p>
      <w:pPr>
        <w:ind w:firstLine="560" w:firstLineChars="200"/>
        <w:rPr>
          <w:rFonts w:ascii="仿宋" w:hAnsi="仿宋" w:eastAsia="仿宋"/>
          <w:sz w:val="28"/>
          <w:szCs w:val="28"/>
        </w:rPr>
      </w:pPr>
      <w:r>
        <w:rPr>
          <w:rFonts w:hint="eastAsia" w:ascii="仿宋" w:hAnsi="仿宋" w:eastAsia="仿宋"/>
          <w:sz w:val="28"/>
          <w:szCs w:val="28"/>
        </w:rPr>
        <w:drawing>
          <wp:inline distT="0" distB="0" distL="0" distR="0">
            <wp:extent cx="5238750" cy="3559175"/>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250528" cy="3567177"/>
                    </a:xfrm>
                    <a:prstGeom prst="rect">
                      <a:avLst/>
                    </a:prstGeom>
                    <a:noFill/>
                    <a:ln>
                      <a:noFill/>
                    </a:ln>
                  </pic:spPr>
                </pic:pic>
              </a:graphicData>
            </a:graphic>
          </wp:inline>
        </w:drawing>
      </w:r>
    </w:p>
    <w:p>
      <w:pPr>
        <w:ind w:firstLine="560" w:firstLineChars="200"/>
        <w:rPr>
          <w:rFonts w:ascii="仿宋" w:hAnsi="仿宋" w:eastAsia="仿宋"/>
          <w:sz w:val="28"/>
          <w:szCs w:val="28"/>
        </w:rPr>
      </w:pPr>
      <w:r>
        <w:rPr>
          <w:rFonts w:ascii="仿宋" w:hAnsi="仿宋" w:eastAsia="仿宋"/>
          <w:sz w:val="28"/>
          <w:szCs w:val="28"/>
        </w:rPr>
        <w:drawing>
          <wp:inline distT="0" distB="0" distL="0" distR="0">
            <wp:extent cx="5267325" cy="351472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67325" cy="3514725"/>
                    </a:xfrm>
                    <a:prstGeom prst="rect">
                      <a:avLst/>
                    </a:prstGeom>
                    <a:noFill/>
                    <a:ln>
                      <a:noFill/>
                    </a:ln>
                  </pic:spPr>
                </pic:pic>
              </a:graphicData>
            </a:graphic>
          </wp:inline>
        </w:drawing>
      </w:r>
    </w:p>
    <w:p>
      <w:pPr>
        <w:ind w:firstLine="560" w:firstLineChars="200"/>
        <w:rPr>
          <w:rFonts w:hint="eastAsia" w:ascii="仿宋" w:hAnsi="仿宋" w:eastAsia="仿宋"/>
          <w:sz w:val="28"/>
          <w:szCs w:val="28"/>
        </w:rPr>
      </w:pPr>
      <w:r>
        <w:rPr>
          <w:rFonts w:hint="eastAsia" w:ascii="仿宋" w:hAnsi="仿宋" w:eastAsia="仿宋"/>
          <w:sz w:val="28"/>
          <w:szCs w:val="28"/>
        </w:rPr>
        <w:t>活动</w:t>
      </w:r>
      <w:r>
        <w:rPr>
          <w:rFonts w:hint="eastAsia" w:ascii="仿宋" w:hAnsi="仿宋" w:eastAsia="仿宋"/>
          <w:sz w:val="28"/>
          <w:szCs w:val="28"/>
          <w:lang w:val="en-US" w:eastAsia="zh-CN"/>
        </w:rPr>
        <w:t>中</w:t>
      </w:r>
      <w:r>
        <w:rPr>
          <w:rFonts w:hint="eastAsia" w:ascii="仿宋" w:hAnsi="仿宋" w:eastAsia="仿宋"/>
          <w:sz w:val="28"/>
          <w:szCs w:val="28"/>
        </w:rPr>
        <w:t>双方就各自党</w:t>
      </w:r>
      <w:r>
        <w:rPr>
          <w:rFonts w:hint="eastAsia" w:ascii="仿宋" w:hAnsi="仿宋" w:eastAsia="仿宋"/>
          <w:sz w:val="28"/>
          <w:szCs w:val="28"/>
          <w:lang w:val="en-US" w:eastAsia="zh-CN"/>
        </w:rPr>
        <w:t>组织</w:t>
      </w:r>
      <w:r>
        <w:rPr>
          <w:rFonts w:hint="eastAsia" w:ascii="仿宋" w:hAnsi="仿宋" w:eastAsia="仿宋"/>
          <w:sz w:val="28"/>
          <w:szCs w:val="28"/>
        </w:rPr>
        <w:t>基本建设情况、党建</w:t>
      </w:r>
      <w:r>
        <w:rPr>
          <w:rFonts w:hint="eastAsia" w:ascii="仿宋" w:hAnsi="仿宋" w:eastAsia="仿宋"/>
          <w:sz w:val="28"/>
          <w:szCs w:val="28"/>
          <w:lang w:val="en-US" w:eastAsia="zh-CN"/>
        </w:rPr>
        <w:t>品牌创建</w:t>
      </w:r>
      <w:r>
        <w:rPr>
          <w:rFonts w:hint="eastAsia" w:ascii="仿宋" w:hAnsi="仿宋" w:eastAsia="仿宋"/>
          <w:sz w:val="28"/>
          <w:szCs w:val="28"/>
        </w:rPr>
        <w:t>等进行了相互交流。园区审图公司</w:t>
      </w:r>
      <w:r>
        <w:rPr>
          <w:rFonts w:hint="eastAsia" w:ascii="仿宋" w:hAnsi="仿宋" w:eastAsia="仿宋"/>
          <w:sz w:val="28"/>
          <w:szCs w:val="28"/>
          <w:lang w:val="en-US" w:eastAsia="zh-CN"/>
        </w:rPr>
        <w:t>党支部</w:t>
      </w:r>
      <w:r>
        <w:rPr>
          <w:rFonts w:hint="eastAsia" w:ascii="仿宋" w:hAnsi="仿宋" w:eastAsia="仿宋"/>
          <w:sz w:val="28"/>
          <w:szCs w:val="28"/>
        </w:rPr>
        <w:t>书记史丽远介绍了园区审图公司</w:t>
      </w:r>
      <w:r>
        <w:rPr>
          <w:rFonts w:hint="eastAsia" w:ascii="仿宋" w:hAnsi="仿宋" w:eastAsia="仿宋"/>
          <w:sz w:val="28"/>
          <w:szCs w:val="28"/>
          <w:lang w:val="en-US" w:eastAsia="zh-CN"/>
        </w:rPr>
        <w:t>党支部的党建品牌——“审图安全号”及相关品牌建设活动</w:t>
      </w:r>
      <w:r>
        <w:rPr>
          <w:rFonts w:hint="eastAsia" w:ascii="仿宋" w:hAnsi="仿宋" w:eastAsia="仿宋"/>
          <w:sz w:val="28"/>
          <w:szCs w:val="28"/>
        </w:rPr>
        <w:t>、</w:t>
      </w:r>
      <w:r>
        <w:rPr>
          <w:rFonts w:hint="eastAsia" w:ascii="仿宋" w:hAnsi="仿宋" w:eastAsia="仿宋"/>
          <w:sz w:val="28"/>
          <w:szCs w:val="28"/>
          <w:lang w:val="en-US" w:eastAsia="zh-CN"/>
        </w:rPr>
        <w:t>审图业务</w:t>
      </w:r>
      <w:r>
        <w:rPr>
          <w:rFonts w:hint="eastAsia" w:ascii="仿宋" w:hAnsi="仿宋" w:eastAsia="仿宋"/>
          <w:sz w:val="28"/>
          <w:szCs w:val="28"/>
        </w:rPr>
        <w:t>开展情况</w:t>
      </w:r>
      <w:r>
        <w:rPr>
          <w:rFonts w:hint="eastAsia" w:ascii="仿宋" w:hAnsi="仿宋" w:eastAsia="仿宋"/>
          <w:sz w:val="28"/>
          <w:szCs w:val="28"/>
          <w:lang w:val="en-US" w:eastAsia="zh-CN"/>
        </w:rPr>
        <w:t>以及</w:t>
      </w:r>
      <w:r>
        <w:rPr>
          <w:rFonts w:hint="eastAsia" w:ascii="仿宋" w:hAnsi="仿宋" w:eastAsia="仿宋"/>
          <w:sz w:val="28"/>
          <w:szCs w:val="28"/>
        </w:rPr>
        <w:t>此次共建活动的目的和意义，指出此次开展的系列服务企业、党建共建活动，是为深入一线服务群众、为企业办实事，旨在通过党组织共建、技术交流，提升双方整体水平，更好地为项目、为园区开发建设服务。中衡党委则重点介绍了</w:t>
      </w:r>
      <w:r>
        <w:rPr>
          <w:rFonts w:hint="eastAsia" w:ascii="仿宋" w:hAnsi="仿宋" w:eastAsia="仿宋"/>
          <w:sz w:val="28"/>
          <w:szCs w:val="28"/>
          <w:lang w:val="en-US" w:eastAsia="zh-CN"/>
        </w:rPr>
        <w:t>党建品牌——</w:t>
      </w:r>
      <w:r>
        <w:rPr>
          <w:rFonts w:hint="eastAsia" w:ascii="仿宋" w:hAnsi="仿宋" w:eastAsia="仿宋"/>
          <w:sz w:val="28"/>
          <w:szCs w:val="28"/>
        </w:rPr>
        <w:t>“衡党建”的融入式党建的具体内容与做法。</w:t>
      </w:r>
    </w:p>
    <w:p>
      <w:pPr>
        <w:ind w:firstLine="560" w:firstLineChars="200"/>
        <w:rPr>
          <w:rFonts w:ascii="仿宋" w:hAnsi="仿宋" w:eastAsia="仿宋"/>
          <w:sz w:val="28"/>
          <w:szCs w:val="28"/>
        </w:rPr>
      </w:pPr>
      <w:r>
        <w:rPr>
          <w:rFonts w:hint="eastAsia" w:ascii="仿宋" w:hAnsi="仿宋" w:eastAsia="仿宋"/>
          <w:sz w:val="28"/>
          <w:szCs w:val="28"/>
        </w:rPr>
        <w:drawing>
          <wp:inline distT="0" distB="0" distL="0" distR="0">
            <wp:extent cx="4650105" cy="3590925"/>
            <wp:effectExtent l="0" t="0" r="17145"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650105" cy="3590925"/>
                    </a:xfrm>
                    <a:prstGeom prst="rect">
                      <a:avLst/>
                    </a:prstGeom>
                    <a:noFill/>
                    <a:ln>
                      <a:noFill/>
                    </a:ln>
                  </pic:spPr>
                </pic:pic>
              </a:graphicData>
            </a:graphic>
          </wp:inline>
        </w:drawing>
      </w:r>
      <w:bookmarkStart w:id="0" w:name="_GoBack"/>
      <w:bookmarkEnd w:id="0"/>
    </w:p>
    <w:p>
      <w:pPr>
        <w:ind w:firstLine="560" w:firstLineChars="200"/>
        <w:rPr>
          <w:rFonts w:ascii="仿宋" w:hAnsi="仿宋" w:eastAsia="仿宋"/>
          <w:sz w:val="28"/>
          <w:szCs w:val="28"/>
        </w:rPr>
      </w:pPr>
      <w:r>
        <w:rPr>
          <w:rFonts w:hint="eastAsia" w:ascii="仿宋" w:hAnsi="仿宋" w:eastAsia="仿宋"/>
          <w:sz w:val="28"/>
          <w:szCs w:val="28"/>
        </w:rPr>
        <w:drawing>
          <wp:inline distT="0" distB="0" distL="0" distR="0">
            <wp:extent cx="4797425" cy="3383280"/>
            <wp:effectExtent l="0" t="0" r="3175"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797425" cy="3383280"/>
                    </a:xfrm>
                    <a:prstGeom prst="rect">
                      <a:avLst/>
                    </a:prstGeom>
                    <a:noFill/>
                    <a:ln>
                      <a:noFill/>
                    </a:ln>
                  </pic:spPr>
                </pic:pic>
              </a:graphicData>
            </a:graphic>
          </wp:inline>
        </w:drawing>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双方表示，将贯彻落实党的二十大和习近平总书记系列重要讲话精神，加强党组织建设，充分利用好现有党建示范基地，发挥各方比较优势，搭建活动平台、创新活动方法，提升活动效果，努力形成共同进步的共建格局，建设共建新品牌。</w:t>
      </w:r>
    </w:p>
    <w:p>
      <w:pPr>
        <w:ind w:firstLine="560" w:firstLineChars="200"/>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本次活动为系列党建活动的第一步，未来将通过共同组织业务培训、技术交流、参观体验、文体类竞赛、志愿者活动等，加强双方人才队伍建设；共同对项目推进过程中遇到的难点、堵点商讨解决方案，联手打造服务型党组织，构建1+1&gt;2的优势格局，形成合力共同为园区开发建设提供优质服务。</w:t>
      </w:r>
    </w:p>
    <w:p>
      <w:pPr>
        <w:ind w:firstLine="560" w:firstLineChars="200"/>
        <w:rPr>
          <w:rFonts w:hint="eastAsia" w:ascii="仿宋" w:hAnsi="仿宋" w:eastAsia="仿宋" w:cstheme="minorBidi"/>
          <w:kern w:val="2"/>
          <w:sz w:val="28"/>
          <w:szCs w:val="28"/>
          <w:lang w:val="en-US" w:eastAsia="zh-CN" w:bidi="ar-SA"/>
        </w:rPr>
      </w:pPr>
    </w:p>
    <w:p>
      <w:pPr>
        <w:ind w:firstLine="420" w:firstLineChars="200"/>
        <w:rPr>
          <w:rFonts w:hint="eastAsia" w:ascii="仿宋" w:hAnsi="仿宋" w:eastAsia="仿宋" w:cstheme="minorBidi"/>
          <w:kern w:val="2"/>
          <w:sz w:val="28"/>
          <w:szCs w:val="28"/>
          <w:lang w:val="en-US" w:eastAsia="zh-CN" w:bidi="ar-SA"/>
        </w:rPr>
      </w:pPr>
      <w:r>
        <w:drawing>
          <wp:inline distT="0" distB="0" distL="114300" distR="114300">
            <wp:extent cx="5274310" cy="3248025"/>
            <wp:effectExtent l="0" t="0" r="254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9"/>
                    <a:stretch>
                      <a:fillRect/>
                    </a:stretch>
                  </pic:blipFill>
                  <pic:spPr>
                    <a:xfrm>
                      <a:off x="0" y="0"/>
                      <a:ext cx="5274310" cy="3248025"/>
                    </a:xfrm>
                    <a:prstGeom prst="rect">
                      <a:avLst/>
                    </a:prstGeom>
                    <a:noFill/>
                    <a:ln>
                      <a:noFill/>
                    </a:ln>
                  </pic:spPr>
                </pic:pic>
              </a:graphicData>
            </a:graphic>
          </wp:inline>
        </w:drawing>
      </w:r>
    </w:p>
    <w:p>
      <w:pPr>
        <w:ind w:firstLine="560" w:firstLineChars="200"/>
        <w:rPr>
          <w:rFonts w:hint="eastAsia" w:ascii="仿宋" w:hAnsi="仿宋" w:eastAsia="仿宋" w:cstheme="minorBidi"/>
          <w:kern w:val="2"/>
          <w:sz w:val="28"/>
          <w:szCs w:val="28"/>
          <w:lang w:val="en-US" w:eastAsia="zh-CN" w:bidi="ar-SA"/>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ind w:firstLine="560" w:firstLineChars="200"/>
        <w:rPr>
          <w:rFonts w:hint="eastAsia" w:ascii="仿宋" w:hAnsi="仿宋" w:eastAsia="仿宋"/>
          <w:color w:val="auto"/>
          <w:sz w:val="28"/>
          <w:szCs w:val="28"/>
          <w:lang w:val="en-US" w:eastAsia="zh-CN"/>
        </w:rPr>
      </w:pPr>
      <w:r>
        <w:rPr>
          <w:rFonts w:hint="eastAsia" w:ascii="仿宋" w:hAnsi="仿宋" w:eastAsia="仿宋"/>
          <w:sz w:val="28"/>
          <w:szCs w:val="28"/>
        </w:rPr>
        <w:t>在随后的技术交流环节，园</w:t>
      </w:r>
      <w:r>
        <w:rPr>
          <w:rFonts w:hint="eastAsia" w:ascii="仿宋" w:hAnsi="仿宋" w:eastAsia="仿宋"/>
          <w:color w:val="auto"/>
          <w:sz w:val="28"/>
          <w:szCs w:val="28"/>
          <w:lang w:val="en-US" w:eastAsia="zh-CN"/>
        </w:rPr>
        <w:t>区审图公司党支部的审查专家胡世忻为大家带来云技术讲座，分享了设计规范要点，深入剖析了疑难问题，提出了规范、专业性建议，为项目施工图设计提供了质量保障。</w:t>
      </w:r>
    </w:p>
    <w:p>
      <w:pPr>
        <w:ind w:firstLine="560" w:firstLineChars="200"/>
        <w:rPr>
          <w:rFonts w:ascii="仿宋" w:hAnsi="仿宋" w:eastAsia="仿宋"/>
          <w:sz w:val="28"/>
          <w:szCs w:val="28"/>
        </w:rPr>
      </w:pPr>
      <w:r>
        <w:rPr>
          <w:rFonts w:hint="eastAsia" w:ascii="仿宋" w:hAnsi="仿宋" w:eastAsia="仿宋"/>
          <w:sz w:val="28"/>
          <w:szCs w:val="28"/>
        </w:rPr>
        <w:drawing>
          <wp:inline distT="0" distB="0" distL="0" distR="0">
            <wp:extent cx="5248275" cy="394335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48275" cy="3943350"/>
                    </a:xfrm>
                    <a:prstGeom prst="rect">
                      <a:avLst/>
                    </a:prstGeom>
                    <a:noFill/>
                    <a:ln>
                      <a:noFill/>
                    </a:ln>
                  </pic:spPr>
                </pic:pic>
              </a:graphicData>
            </a:graphic>
          </wp:inline>
        </w:drawing>
      </w:r>
    </w:p>
    <w:p>
      <w:pPr>
        <w:ind w:firstLine="560" w:firstLineChars="200"/>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在技术答疑环节，针对各专业在项目设计和项目推进中遇到的各种疑难问题，园区审图公司的各专业审查专家也分别给出了专业的建议。此次云讲座响应热烈，百余位设计师在线参与交流。</w:t>
      </w:r>
    </w:p>
    <w:p>
      <w:pPr>
        <w:ind w:firstLine="560" w:firstLineChars="200"/>
        <w:rPr>
          <w:rFonts w:ascii="仿宋" w:hAnsi="仿宋" w:eastAsia="仿宋"/>
          <w:sz w:val="28"/>
          <w:szCs w:val="28"/>
        </w:rPr>
      </w:pPr>
      <w:r>
        <w:rPr>
          <w:rFonts w:ascii="仿宋" w:hAnsi="仿宋" w:eastAsia="仿宋"/>
          <w:sz w:val="28"/>
          <w:szCs w:val="28"/>
        </w:rPr>
        <w:drawing>
          <wp:inline distT="0" distB="0" distL="0" distR="0">
            <wp:extent cx="5267325" cy="3514725"/>
            <wp:effectExtent l="0" t="0" r="9525"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67325" cy="3514725"/>
                    </a:xfrm>
                    <a:prstGeom prst="rect">
                      <a:avLst/>
                    </a:prstGeom>
                    <a:noFill/>
                    <a:ln>
                      <a:noFill/>
                    </a:ln>
                  </pic:spPr>
                </pic:pic>
              </a:graphicData>
            </a:graphic>
          </wp:inline>
        </w:drawing>
      </w:r>
    </w:p>
    <w:p>
      <w:pPr>
        <w:pStyle w:val="10"/>
        <w:spacing w:line="560" w:lineRule="exact"/>
        <w:ind w:firstLine="560"/>
        <w:rPr>
          <w:rFonts w:hint="eastAsia" w:ascii="仿宋" w:hAnsi="仿宋" w:eastAsia="仿宋"/>
          <w:sz w:val="28"/>
          <w:szCs w:val="28"/>
          <w:lang w:val="en-US" w:eastAsia="zh-CN"/>
        </w:rPr>
      </w:pPr>
      <w:r>
        <w:rPr>
          <w:rFonts w:hint="eastAsia" w:ascii="仿宋" w:hAnsi="仿宋" w:eastAsia="仿宋"/>
          <w:sz w:val="28"/>
          <w:szCs w:val="28"/>
        </w:rPr>
        <w:t>通过此次共建活动，双方进一步加强了沟通交流，使党建活动与业务技术交流融合从而取得更多建设性成果。</w:t>
      </w:r>
      <w:r>
        <w:rPr>
          <w:rFonts w:hint="eastAsia" w:ascii="仿宋" w:hAnsi="仿宋" w:eastAsia="仿宋"/>
          <w:sz w:val="28"/>
          <w:szCs w:val="28"/>
          <w:lang w:val="en-US" w:eastAsia="zh-CN"/>
        </w:rPr>
        <w:t>园区审图公司党支部将进一步优化审查流程、提高服务质量、</w:t>
      </w:r>
      <w:r>
        <w:rPr>
          <w:rFonts w:hint="eastAsia" w:ascii="仿宋" w:hAnsi="仿宋" w:eastAsia="仿宋"/>
          <w:sz w:val="28"/>
          <w:szCs w:val="28"/>
        </w:rPr>
        <w:t>精准掌握设计审查标准规范</w:t>
      </w:r>
      <w:r>
        <w:rPr>
          <w:rFonts w:hint="eastAsia" w:ascii="仿宋" w:hAnsi="仿宋" w:eastAsia="仿宋"/>
          <w:sz w:val="28"/>
          <w:szCs w:val="28"/>
          <w:lang w:eastAsia="zh-CN"/>
        </w:rPr>
        <w:t>，</w:t>
      </w:r>
      <w:r>
        <w:rPr>
          <w:rFonts w:hint="eastAsia" w:ascii="仿宋" w:hAnsi="仿宋" w:eastAsia="仿宋"/>
          <w:sz w:val="28"/>
          <w:szCs w:val="28"/>
          <w:lang w:val="en-US" w:eastAsia="zh-CN"/>
        </w:rPr>
        <w:t>提质增速，</w:t>
      </w:r>
      <w:r>
        <w:rPr>
          <w:rFonts w:hint="eastAsia" w:ascii="仿宋" w:hAnsi="仿宋" w:eastAsia="仿宋"/>
          <w:sz w:val="28"/>
          <w:szCs w:val="28"/>
        </w:rPr>
        <w:t>助</w:t>
      </w:r>
      <w:r>
        <w:rPr>
          <w:rFonts w:hint="eastAsia" w:ascii="仿宋" w:hAnsi="仿宋" w:eastAsia="仿宋"/>
          <w:sz w:val="28"/>
          <w:szCs w:val="28"/>
          <w:lang w:val="en-US" w:eastAsia="zh-CN"/>
        </w:rPr>
        <w:t>推</w:t>
      </w:r>
      <w:r>
        <w:rPr>
          <w:rFonts w:hint="eastAsia" w:ascii="仿宋" w:hAnsi="仿宋" w:eastAsia="仿宋"/>
          <w:sz w:val="28"/>
          <w:szCs w:val="28"/>
        </w:rPr>
        <w:t>重点项目建设。</w:t>
      </w:r>
    </w:p>
    <w:p>
      <w:pPr>
        <w:ind w:firstLine="560" w:firstLineChars="200"/>
        <w:rPr>
          <w:rFonts w:hint="eastAsia" w:ascii="仿宋" w:hAnsi="仿宋" w:eastAsia="仿宋"/>
          <w:sz w:val="28"/>
          <w:szCs w:val="28"/>
          <w:lang w:val="en-US" w:eastAsia="zh-CN"/>
        </w:rPr>
      </w:pPr>
    </w:p>
    <w:p>
      <w:pPr>
        <w:ind w:firstLine="560" w:firstLineChars="200"/>
        <w:rPr>
          <w:rFonts w:hint="eastAsia" w:ascii="仿宋" w:hAnsi="仿宋" w:eastAsia="仿宋"/>
          <w:sz w:val="28"/>
          <w:szCs w:val="28"/>
          <w:lang w:val="en-US" w:eastAsia="zh-CN"/>
        </w:rPr>
      </w:pPr>
    </w:p>
    <w:p>
      <w:pPr>
        <w:ind w:firstLine="560" w:firstLineChars="200"/>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2022</w:t>
      </w:r>
      <w:r>
        <w:rPr>
          <w:rFonts w:hint="eastAsia" w:ascii="仿宋" w:hAnsi="仿宋" w:eastAsia="仿宋"/>
          <w:sz w:val="28"/>
          <w:szCs w:val="28"/>
        </w:rPr>
        <w:t>年1</w:t>
      </w:r>
      <w:r>
        <w:rPr>
          <w:rFonts w:ascii="仿宋" w:hAnsi="仿宋" w:eastAsia="仿宋"/>
          <w:sz w:val="28"/>
          <w:szCs w:val="28"/>
        </w:rPr>
        <w:t>2</w:t>
      </w:r>
      <w:r>
        <w:rPr>
          <w:rFonts w:hint="eastAsia" w:ascii="仿宋" w:hAnsi="仿宋" w:eastAsia="仿宋"/>
          <w:sz w:val="28"/>
          <w:szCs w:val="28"/>
        </w:rPr>
        <w:t>月1</w:t>
      </w:r>
      <w:r>
        <w:rPr>
          <w:rFonts w:hint="eastAsia" w:ascii="仿宋" w:hAnsi="仿宋" w:eastAsia="仿宋"/>
          <w:sz w:val="28"/>
          <w:szCs w:val="28"/>
          <w:lang w:val="en-US" w:eastAsia="zh-CN"/>
        </w:rPr>
        <w:t>5</w:t>
      </w:r>
      <w:r>
        <w:rPr>
          <w:rFonts w:hint="eastAsia" w:ascii="仿宋" w:hAnsi="仿宋" w:eastAsia="仿宋"/>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jYTQyNzNiZjEwMGZkZTA5MjVlYjRhYTFkN2IyZTMifQ=="/>
  </w:docVars>
  <w:rsids>
    <w:rsidRoot w:val="005F014E"/>
    <w:rsid w:val="000E11DC"/>
    <w:rsid w:val="00154966"/>
    <w:rsid w:val="00157EEE"/>
    <w:rsid w:val="002359AE"/>
    <w:rsid w:val="0026240D"/>
    <w:rsid w:val="002C1F5C"/>
    <w:rsid w:val="0039580B"/>
    <w:rsid w:val="004B0EDB"/>
    <w:rsid w:val="005949EF"/>
    <w:rsid w:val="005F014E"/>
    <w:rsid w:val="006D3E9E"/>
    <w:rsid w:val="0074034F"/>
    <w:rsid w:val="00773A40"/>
    <w:rsid w:val="00914FF2"/>
    <w:rsid w:val="0092331D"/>
    <w:rsid w:val="00AF06BA"/>
    <w:rsid w:val="00B016AB"/>
    <w:rsid w:val="00B74BDA"/>
    <w:rsid w:val="00BA487C"/>
    <w:rsid w:val="00BE4586"/>
    <w:rsid w:val="00C308F2"/>
    <w:rsid w:val="00C40B23"/>
    <w:rsid w:val="00F57FD4"/>
    <w:rsid w:val="08D16835"/>
    <w:rsid w:val="2C4A22C6"/>
    <w:rsid w:val="3D1332EE"/>
    <w:rsid w:val="420206B4"/>
    <w:rsid w:val="7F4248D3"/>
    <w:rsid w:val="7F7143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7">
    <w:name w:val="Strong"/>
    <w:basedOn w:val="6"/>
    <w:qFormat/>
    <w:uiPriority w:val="22"/>
    <w:rPr>
      <w:b/>
    </w:r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 w:type="paragraph"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1056</Words>
  <Characters>1067</Characters>
  <Lines>6</Lines>
  <Paragraphs>1</Paragraphs>
  <TotalTime>18</TotalTime>
  <ScaleCrop>false</ScaleCrop>
  <LinksUpToDate>false</LinksUpToDate>
  <CharactersWithSpaces>1098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2022-12-15T08:29:00Z</dcterms:created>
  <dc:creator>财政审计局-戚光耀</dc:creator>
  <cp:lastModifiedBy>84304</cp:lastModifiedBy>
  <dcterms:modified xsi:type="dcterms:W3CDTF">2022-12-15T10:01:33Z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13056318FC964334AF174B2A312A7CF6</vt:lpwstr>
  </property>
</Properties>
</file>